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77" w:rsidRDefault="00052F77" w:rsidP="003D1006">
      <w:pPr>
        <w:pStyle w:val="Nzov"/>
        <w:rPr>
          <w:color w:val="0070C0"/>
          <w:sz w:val="40"/>
          <w:lang w:val="sk-SK"/>
        </w:rPr>
      </w:pPr>
      <w:r w:rsidRPr="000E7CF9">
        <w:rPr>
          <w:color w:val="0070C0"/>
          <w:sz w:val="40"/>
          <w:lang w:val="sk-SK"/>
        </w:rPr>
        <w:t>Priame a nepriame dane</w:t>
      </w:r>
    </w:p>
    <w:p w:rsidR="002E52CB" w:rsidRPr="002E52CB" w:rsidRDefault="002E52CB" w:rsidP="002E52CB">
      <w:pPr>
        <w:spacing w:after="0"/>
        <w:rPr>
          <w:lang w:val="sk-SK"/>
        </w:rPr>
      </w:pPr>
      <w:hyperlink r:id="rId6" w:history="1">
        <w:r>
          <w:rPr>
            <w:rStyle w:val="Hypertextovprepojenie"/>
          </w:rPr>
          <w:t>https://www.financnasprava.sk/sk/elektronicke-sluzby/verejne-sluzby/danovy-kalendar</w:t>
        </w:r>
      </w:hyperlink>
    </w:p>
    <w:tbl>
      <w:tblPr>
        <w:tblW w:w="5000" w:type="pct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174"/>
        <w:gridCol w:w="6009"/>
        <w:gridCol w:w="1042"/>
      </w:tblGrid>
      <w:tr w:rsidR="00052F77" w:rsidRPr="000600A9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do 5 dní po dni výplaty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Daň zo závislej činnosti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Odvod preddavkov na daň z príjmov zo závislej činnosti za zamestnancov znížené o úhrn daňového bonusu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mesačné</w:t>
            </w:r>
          </w:p>
        </w:tc>
      </w:tr>
      <w:tr w:rsidR="00052F77" w:rsidRPr="000600A9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23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1</w:t>
            </w:r>
            <w:r w:rsidR="002302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1</w:t>
            </w: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.03.201</w:t>
            </w:r>
            <w:r w:rsidR="002302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Daň zo závislej činnosti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23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Povinnosť zamestnávateľa vystaviť potvrdenie o zdaniteľných príjmoch zamestnanca za rok 201</w:t>
            </w:r>
            <w:r w:rsidR="002302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8</w:t>
            </w: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 xml:space="preserve"> na účely podania daňového priznania k dani z príjmov zamestnanca za rok 201</w:t>
            </w:r>
            <w:r w:rsidR="002302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8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ročné</w:t>
            </w:r>
          </w:p>
        </w:tc>
      </w:tr>
      <w:tr w:rsidR="00052F77" w:rsidRPr="000600A9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2302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15.03.201</w:t>
            </w:r>
            <w:r w:rsidR="002302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Daň z príjmu právnickej osoby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Odvedenie dane z príjmov vyberanej zrážkou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2F77" w:rsidRPr="000600A9" w:rsidRDefault="00052F77" w:rsidP="00627AC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mesačné</w:t>
            </w:r>
          </w:p>
        </w:tc>
      </w:tr>
      <w:tr w:rsidR="00052F77" w:rsidRPr="007B72F6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77" w:rsidRPr="007B72F6" w:rsidRDefault="00052F77" w:rsidP="002302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 w:rsidR="0023027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 w:rsidR="00230274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72F6" w:rsidRPr="007B72F6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Spotrebná daň </w:t>
            </w:r>
          </w:p>
          <w:p w:rsidR="007B72F6" w:rsidRPr="007B72F6" w:rsidRDefault="007B72F6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- z liehu</w:t>
            </w:r>
          </w:p>
          <w:p w:rsidR="00052F77" w:rsidRPr="007B72F6" w:rsidRDefault="007B72F6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- </w:t>
            </w:r>
            <w:r w:rsidR="00052F77"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z minerálneho oleja</w:t>
            </w:r>
          </w:p>
          <w:p w:rsidR="007B72F6" w:rsidRPr="007B72F6" w:rsidRDefault="007B72F6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- z tabakových výrobkov</w:t>
            </w:r>
          </w:p>
          <w:p w:rsidR="007B72F6" w:rsidRPr="007B72F6" w:rsidRDefault="007B72F6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- z uhlia</w:t>
            </w:r>
          </w:p>
          <w:p w:rsidR="007B72F6" w:rsidRPr="007B72F6" w:rsidRDefault="007B72F6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- zo zemného plynu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77" w:rsidRPr="007B72F6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Podanie daňového priznania za spotrebné dane</w:t>
            </w:r>
            <w:r w:rsidR="007B72F6"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 </w:t>
            </w:r>
            <w:r w:rsidR="00614975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 xml:space="preserve">(podľa zákona) </w:t>
            </w:r>
            <w:r w:rsidR="007B72F6"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vždy do 25. ak padne dátum na sobotu, nedeľu a sviatok tak nasledujúci deň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F77" w:rsidRPr="007B72F6" w:rsidRDefault="00052F77" w:rsidP="00627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230274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7B72F6" w:rsidRDefault="00230274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F1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Spotrebné dane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Uhradenie dane (podľa zákona) vždy do 25. ak padne dátum na sobotu, nedeľu a sviatok tak nasledujúci deň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F10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230274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7B72F6" w:rsidRDefault="00230274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Daň z pridanej hodnoty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Podanie daňového priznania k DPH za predchádzajúci kalendárny mesiac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230274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7B72F6" w:rsidRDefault="00230274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Daň z pridanej hodnoty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Podanie súhrnného výkazu za kalendárny mesiac pre platiteľa podávajúceho súhrnný výkaz za kalendárny mesiac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230274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7B72F6" w:rsidRDefault="00230274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Daň z pridanej hodnoty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Podanie kontrolného výkazu za kalendárny mesiac pre platiteľa so zdaňovacím obdobím kalendárny mesiac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230274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7B72F6" w:rsidRDefault="00230274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5</w:t>
            </w:r>
            <w:r w:rsidRPr="007B72F6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.03.201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9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Daň z pridanej hodnoty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Splatná DPH za mesiac február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274" w:rsidRPr="005855FD" w:rsidRDefault="00230274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  <w:tr w:rsidR="00C355E5" w:rsidRPr="005855FD" w:rsidTr="002E52CB">
        <w:tc>
          <w:tcPr>
            <w:tcW w:w="655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5E5" w:rsidRDefault="00C355E5" w:rsidP="00F54A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1. 4. 2019</w:t>
            </w:r>
          </w:p>
          <w:p w:rsidR="00C355E5" w:rsidRPr="007B72F6" w:rsidRDefault="00C355E5" w:rsidP="00C35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(31.3.2019 je nedeľa)</w:t>
            </w:r>
          </w:p>
        </w:tc>
        <w:tc>
          <w:tcPr>
            <w:tcW w:w="1024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5E5" w:rsidRPr="005855FD" w:rsidRDefault="00C355E5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0600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sk-SK"/>
              </w:rPr>
              <w:t>Daň zo závislej činnosti</w:t>
            </w:r>
          </w:p>
        </w:tc>
        <w:tc>
          <w:tcPr>
            <w:tcW w:w="283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5E5" w:rsidRPr="005855FD" w:rsidRDefault="00C355E5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C355E5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Podanie prehľadu o zrazených a odvedených preddavkoch na daň z príjmov zo závislej činnosti, ktoré zamestnávateľ jednotlivým zamestnancom vyplatil, o zamestnaneckej prémii a o daňovom bonuse za uplynulý kalendárny mesiac</w:t>
            </w:r>
          </w:p>
        </w:tc>
        <w:tc>
          <w:tcPr>
            <w:tcW w:w="491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5E5" w:rsidRPr="005855FD" w:rsidRDefault="00C355E5" w:rsidP="007B7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</w:pPr>
            <w:r w:rsidRPr="005855FD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cs-CZ"/>
              </w:rPr>
              <w:t>mesačné</w:t>
            </w:r>
          </w:p>
        </w:tc>
      </w:tr>
    </w:tbl>
    <w:p w:rsidR="00052F77" w:rsidRPr="002E52CB" w:rsidRDefault="00052F77" w:rsidP="002E52CB">
      <w:pPr>
        <w:pStyle w:val="Bezriadkovania"/>
        <w:rPr>
          <w:sz w:val="2"/>
        </w:rPr>
      </w:pPr>
    </w:p>
    <w:p w:rsidR="001075C5" w:rsidRDefault="001075C5" w:rsidP="002E52CB">
      <w:pPr>
        <w:pStyle w:val="Nadpis2"/>
        <w:spacing w:before="0" w:line="525" w:lineRule="atLeast"/>
        <w:jc w:val="both"/>
        <w:textAlignment w:val="baseline"/>
        <w:rPr>
          <w:rFonts w:ascii="&amp;quot" w:hAnsi="&amp;quot"/>
          <w:color w:val="000000"/>
          <w:sz w:val="33"/>
          <w:szCs w:val="33"/>
        </w:rPr>
      </w:pPr>
      <w:r>
        <w:rPr>
          <w:rFonts w:ascii="&amp;quot" w:hAnsi="&amp;quot"/>
          <w:color w:val="000000"/>
          <w:sz w:val="33"/>
          <w:szCs w:val="33"/>
        </w:rPr>
        <w:t>Všeob</w:t>
      </w:r>
      <w:bookmarkStart w:id="0" w:name="_GoBack"/>
      <w:bookmarkEnd w:id="0"/>
      <w:r>
        <w:rPr>
          <w:rFonts w:ascii="&amp;quot" w:hAnsi="&amp;quot"/>
          <w:color w:val="000000"/>
          <w:sz w:val="33"/>
          <w:szCs w:val="33"/>
        </w:rPr>
        <w:t xml:space="preserve">ecná </w:t>
      </w:r>
      <w:proofErr w:type="spellStart"/>
      <w:r>
        <w:rPr>
          <w:rFonts w:ascii="&amp;quot" w:hAnsi="&amp;quot"/>
          <w:color w:val="000000"/>
          <w:sz w:val="33"/>
          <w:szCs w:val="33"/>
        </w:rPr>
        <w:t>informácia</w:t>
      </w:r>
      <w:proofErr w:type="spellEnd"/>
      <w:r>
        <w:rPr>
          <w:rFonts w:ascii="&amp;quot" w:hAnsi="&amp;quot"/>
          <w:color w:val="000000"/>
          <w:sz w:val="33"/>
          <w:szCs w:val="33"/>
        </w:rPr>
        <w:t xml:space="preserve"> k </w:t>
      </w:r>
      <w:proofErr w:type="spellStart"/>
      <w:r>
        <w:rPr>
          <w:rFonts w:ascii="&amp;quot" w:hAnsi="&amp;quot"/>
          <w:color w:val="000000"/>
          <w:sz w:val="33"/>
          <w:szCs w:val="33"/>
        </w:rPr>
        <w:t>plateniu</w:t>
      </w:r>
      <w:proofErr w:type="spellEnd"/>
      <w:r>
        <w:rPr>
          <w:rFonts w:ascii="&amp;quot" w:hAnsi="&amp;quot"/>
          <w:color w:val="000000"/>
          <w:sz w:val="33"/>
          <w:szCs w:val="33"/>
        </w:rPr>
        <w:t xml:space="preserve"> daní</w:t>
      </w:r>
    </w:p>
    <w:p w:rsidR="001075C5" w:rsidRDefault="001075C5" w:rsidP="001075C5">
      <w:pPr>
        <w:pStyle w:val="Normlnywebov"/>
        <w:spacing w:before="0" w:beforeAutospacing="0" w:after="0" w:afterAutospacing="0" w:line="310" w:lineRule="atLeast"/>
        <w:jc w:val="both"/>
        <w:textAlignment w:val="baseline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19"/>
          <w:szCs w:val="19"/>
        </w:rPr>
        <w:t>S </w:t>
      </w:r>
      <w:proofErr w:type="spellStart"/>
      <w:r>
        <w:rPr>
          <w:rFonts w:ascii="&amp;quot" w:hAnsi="&amp;quot"/>
          <w:color w:val="000000"/>
          <w:sz w:val="19"/>
          <w:szCs w:val="19"/>
        </w:rPr>
        <w:t>účinnosťou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od </w:t>
      </w:r>
      <w:proofErr w:type="gramStart"/>
      <w:r>
        <w:rPr>
          <w:rFonts w:ascii="&amp;quot" w:hAnsi="&amp;quot"/>
          <w:color w:val="000000"/>
          <w:sz w:val="19"/>
          <w:szCs w:val="19"/>
        </w:rPr>
        <w:t>1.1.2012</w:t>
      </w:r>
      <w:proofErr w:type="gramEnd"/>
      <w:r>
        <w:rPr>
          <w:rFonts w:ascii="&amp;quot" w:hAnsi="&amp;quot"/>
          <w:color w:val="000000"/>
          <w:sz w:val="19"/>
          <w:szCs w:val="19"/>
        </w:rPr>
        <w:t xml:space="preserve"> je daňový subjekt povinný platbu dane </w:t>
      </w:r>
      <w:proofErr w:type="spellStart"/>
      <w:r>
        <w:rPr>
          <w:rFonts w:ascii="&amp;quot" w:hAnsi="&amp;quot"/>
          <w:color w:val="000000"/>
          <w:sz w:val="19"/>
          <w:szCs w:val="19"/>
        </w:rPr>
        <w:t>poukazovanú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daňovému </w:t>
      </w:r>
      <w:proofErr w:type="spellStart"/>
      <w:r>
        <w:rPr>
          <w:rFonts w:ascii="&amp;quot" w:hAnsi="&amp;quot"/>
          <w:color w:val="000000"/>
          <w:sz w:val="19"/>
          <w:szCs w:val="19"/>
        </w:rPr>
        <w:t>úradu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000000"/>
          <w:sz w:val="19"/>
          <w:szCs w:val="19"/>
        </w:rPr>
        <w:t>označiť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v </w:t>
      </w:r>
      <w:proofErr w:type="spellStart"/>
      <w:r>
        <w:rPr>
          <w:rFonts w:ascii="&amp;quot" w:hAnsi="&amp;quot"/>
          <w:color w:val="000000"/>
          <w:sz w:val="19"/>
          <w:szCs w:val="19"/>
        </w:rPr>
        <w:t>zmysle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hyperlink r:id="rId7" w:tgtFrame="_blank" w:tooltip="Znenie vyhlášky MF SR č. 378/2011 Z. z. o spôsobe označovania platby dane  [nové okno]" w:history="1"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Vyhlášky MF SR č. 378/2011 Z. z. o </w:t>
        </w:r>
        <w:proofErr w:type="spellStart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spôsobe</w:t>
        </w:r>
        <w:proofErr w:type="spellEnd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 xml:space="preserve"> </w:t>
        </w:r>
        <w:proofErr w:type="spellStart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označovania</w:t>
        </w:r>
        <w:proofErr w:type="spellEnd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 xml:space="preserve"> platby dane</w:t>
        </w:r>
      </w:hyperlink>
      <w:r>
        <w:rPr>
          <w:rFonts w:ascii="&amp;quot" w:hAnsi="&amp;quot"/>
          <w:color w:val="000000"/>
          <w:sz w:val="19"/>
          <w:szCs w:val="19"/>
        </w:rPr>
        <w:t xml:space="preserve"> [nové okno] a </w:t>
      </w:r>
      <w:proofErr w:type="spellStart"/>
      <w:r>
        <w:rPr>
          <w:rFonts w:ascii="&amp;quot" w:hAnsi="&amp;quot"/>
          <w:color w:val="000000"/>
          <w:sz w:val="19"/>
          <w:szCs w:val="19"/>
        </w:rPr>
        <w:t>posielať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na nové číslo účtu.</w:t>
      </w:r>
    </w:p>
    <w:p w:rsidR="001075C5" w:rsidRDefault="001075C5" w:rsidP="001075C5">
      <w:pPr>
        <w:pStyle w:val="Normlnywebov"/>
        <w:spacing w:before="0" w:beforeAutospacing="0" w:after="0" w:afterAutospacing="0" w:line="310" w:lineRule="atLeast"/>
        <w:jc w:val="both"/>
        <w:textAlignment w:val="baseline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19"/>
          <w:szCs w:val="19"/>
        </w:rPr>
        <w:t xml:space="preserve">Každému daňovému subjektu je </w:t>
      </w:r>
      <w:proofErr w:type="spellStart"/>
      <w:r>
        <w:rPr>
          <w:rFonts w:ascii="&amp;quot" w:hAnsi="&amp;quot"/>
          <w:color w:val="000000"/>
          <w:sz w:val="19"/>
          <w:szCs w:val="19"/>
        </w:rPr>
        <w:t>pridelené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jeho </w:t>
      </w:r>
      <w:proofErr w:type="spellStart"/>
      <w:r>
        <w:rPr>
          <w:rStyle w:val="Siln"/>
          <w:rFonts w:ascii="&amp;quot" w:eastAsiaTheme="majorEastAsia" w:hAnsi="&amp;quot"/>
          <w:color w:val="000000"/>
          <w:sz w:val="19"/>
          <w:szCs w:val="19"/>
          <w:bdr w:val="none" w:sz="0" w:space="0" w:color="auto" w:frame="1"/>
        </w:rPr>
        <w:t>vlastné</w:t>
      </w:r>
      <w:proofErr w:type="spellEnd"/>
      <w:r>
        <w:rPr>
          <w:rStyle w:val="Siln"/>
          <w:rFonts w:ascii="&amp;quot" w:eastAsiaTheme="majorEastAsia" w:hAnsi="&amp;quot"/>
          <w:color w:val="000000"/>
          <w:sz w:val="19"/>
          <w:szCs w:val="19"/>
          <w:bdr w:val="none" w:sz="0" w:space="0" w:color="auto" w:frame="1"/>
        </w:rPr>
        <w:t xml:space="preserve"> číslo účtu – tzv. základné číslo účtu</w:t>
      </w:r>
      <w:r>
        <w:rPr>
          <w:rFonts w:ascii="&amp;quot" w:hAnsi="&amp;quot"/>
          <w:color w:val="000000"/>
          <w:sz w:val="19"/>
          <w:szCs w:val="19"/>
        </w:rPr>
        <w:t>.</w:t>
      </w:r>
    </w:p>
    <w:p w:rsidR="001075C5" w:rsidRDefault="001075C5" w:rsidP="001075C5">
      <w:pPr>
        <w:pStyle w:val="Normlnywebov"/>
        <w:spacing w:before="0" w:beforeAutospacing="0" w:after="0" w:afterAutospacing="0" w:line="310" w:lineRule="atLeast"/>
        <w:jc w:val="both"/>
        <w:textAlignment w:val="baseline"/>
        <w:rPr>
          <w:rFonts w:ascii="&amp;quot" w:hAnsi="&amp;quot"/>
          <w:color w:val="000000"/>
          <w:sz w:val="19"/>
          <w:szCs w:val="19"/>
        </w:rPr>
      </w:pPr>
      <w:r>
        <w:rPr>
          <w:rStyle w:val="Siln"/>
          <w:rFonts w:ascii="&amp;quot" w:eastAsiaTheme="majorEastAsia" w:hAnsi="&amp;quot"/>
          <w:color w:val="000000"/>
          <w:sz w:val="19"/>
          <w:szCs w:val="19"/>
          <w:bdr w:val="none" w:sz="0" w:space="0" w:color="auto" w:frame="1"/>
        </w:rPr>
        <w:t>Praktická rada:</w:t>
      </w:r>
      <w:r>
        <w:rPr>
          <w:rFonts w:ascii="&amp;quot" w:hAnsi="&amp;quot"/>
          <w:color w:val="000000"/>
          <w:sz w:val="19"/>
          <w:szCs w:val="19"/>
        </w:rPr>
        <w:t xml:space="preserve"> Na </w:t>
      </w:r>
      <w:proofErr w:type="spellStart"/>
      <w:r>
        <w:rPr>
          <w:rFonts w:ascii="&amp;quot" w:hAnsi="&amp;quot"/>
          <w:color w:val="000000"/>
          <w:sz w:val="19"/>
          <w:szCs w:val="19"/>
        </w:rPr>
        <w:t>overenie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000000"/>
          <w:sz w:val="19"/>
          <w:szCs w:val="19"/>
        </w:rPr>
        <w:t>alebo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000000"/>
          <w:sz w:val="19"/>
          <w:szCs w:val="19"/>
        </w:rPr>
        <w:t>zistenie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Vám </w:t>
      </w:r>
      <w:proofErr w:type="spellStart"/>
      <w:r>
        <w:rPr>
          <w:rFonts w:ascii="&amp;quot" w:hAnsi="&amp;quot"/>
          <w:color w:val="000000"/>
          <w:sz w:val="19"/>
          <w:szCs w:val="19"/>
        </w:rPr>
        <w:t>prideleného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OUD </w:t>
      </w:r>
      <w:proofErr w:type="spellStart"/>
      <w:r>
        <w:rPr>
          <w:rFonts w:ascii="&amp;quot" w:hAnsi="&amp;quot"/>
          <w:color w:val="000000"/>
          <w:sz w:val="19"/>
          <w:szCs w:val="19"/>
        </w:rPr>
        <w:t>použite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službu </w:t>
      </w:r>
      <w:hyperlink r:id="rId8" w:history="1"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„</w:t>
        </w:r>
        <w:proofErr w:type="spellStart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Overenie</w:t>
        </w:r>
        <w:proofErr w:type="spellEnd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 xml:space="preserve"> </w:t>
        </w:r>
        <w:proofErr w:type="spellStart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>prideleného</w:t>
        </w:r>
        <w:proofErr w:type="spellEnd"/>
        <w:r>
          <w:rPr>
            <w:rStyle w:val="Hypertextovprepojenie"/>
            <w:rFonts w:ascii="&amp;quot" w:hAnsi="&amp;quot"/>
            <w:color w:val="2C52A9"/>
            <w:sz w:val="19"/>
            <w:szCs w:val="19"/>
            <w:bdr w:val="none" w:sz="0" w:space="0" w:color="auto" w:frame="1"/>
          </w:rPr>
          <w:t xml:space="preserve"> OÚD“</w:t>
        </w:r>
      </w:hyperlink>
      <w:r>
        <w:rPr>
          <w:rFonts w:ascii="&amp;quot" w:hAnsi="&amp;quot"/>
          <w:color w:val="000000"/>
          <w:sz w:val="19"/>
          <w:szCs w:val="19"/>
        </w:rPr>
        <w:t>.</w:t>
      </w:r>
    </w:p>
    <w:p w:rsidR="001075C5" w:rsidRDefault="001075C5" w:rsidP="001075C5">
      <w:pPr>
        <w:pStyle w:val="Normlnywebov"/>
        <w:spacing w:before="0" w:beforeAutospacing="0" w:after="225" w:afterAutospacing="0" w:line="310" w:lineRule="atLeast"/>
        <w:jc w:val="both"/>
        <w:textAlignment w:val="baseline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19"/>
          <w:szCs w:val="19"/>
        </w:rPr>
        <w:t xml:space="preserve">Číslo účtu </w:t>
      </w:r>
      <w:proofErr w:type="spellStart"/>
      <w:r>
        <w:rPr>
          <w:rFonts w:ascii="&amp;quot" w:hAnsi="&amp;quot"/>
          <w:color w:val="000000"/>
          <w:sz w:val="19"/>
          <w:szCs w:val="19"/>
        </w:rPr>
        <w:t>pre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úhradu </w:t>
      </w:r>
      <w:proofErr w:type="spellStart"/>
      <w:r>
        <w:rPr>
          <w:rFonts w:ascii="&amp;quot" w:hAnsi="&amp;quot"/>
          <w:color w:val="000000"/>
          <w:sz w:val="19"/>
          <w:szCs w:val="19"/>
        </w:rPr>
        <w:t>príslušnej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dane </w:t>
      </w:r>
      <w:proofErr w:type="spellStart"/>
      <w:r>
        <w:rPr>
          <w:rFonts w:ascii="&amp;quot" w:hAnsi="&amp;quot"/>
          <w:color w:val="000000"/>
          <w:sz w:val="19"/>
          <w:szCs w:val="19"/>
        </w:rPr>
        <w:t>sa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000000"/>
          <w:sz w:val="19"/>
          <w:szCs w:val="19"/>
        </w:rPr>
        <w:t>skladá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z </w:t>
      </w:r>
      <w:proofErr w:type="spellStart"/>
      <w:r>
        <w:rPr>
          <w:rFonts w:ascii="&amp;quot" w:hAnsi="&amp;quot"/>
          <w:color w:val="000000"/>
          <w:sz w:val="19"/>
          <w:szCs w:val="19"/>
        </w:rPr>
        <w:t>predčíslia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000000"/>
          <w:sz w:val="19"/>
          <w:szCs w:val="19"/>
        </w:rPr>
        <w:t>označujúceho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druh dane, </w:t>
      </w:r>
      <w:proofErr w:type="spellStart"/>
      <w:r>
        <w:rPr>
          <w:rFonts w:ascii="&amp;quot" w:hAnsi="&amp;quot"/>
          <w:color w:val="000000"/>
          <w:sz w:val="19"/>
          <w:szCs w:val="19"/>
        </w:rPr>
        <w:t>zo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základného čísla účtu </w:t>
      </w:r>
      <w:proofErr w:type="spellStart"/>
      <w:r>
        <w:rPr>
          <w:rFonts w:ascii="&amp;quot" w:hAnsi="&amp;quot"/>
          <w:color w:val="000000"/>
          <w:sz w:val="19"/>
          <w:szCs w:val="19"/>
        </w:rPr>
        <w:t>označujúceho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daňový subjekt a z </w:t>
      </w:r>
      <w:proofErr w:type="spellStart"/>
      <w:r>
        <w:rPr>
          <w:rFonts w:ascii="&amp;quot" w:hAnsi="&amp;quot"/>
          <w:color w:val="000000"/>
          <w:sz w:val="19"/>
          <w:szCs w:val="19"/>
        </w:rPr>
        <w:t>identifikačného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kódu </w:t>
      </w:r>
      <w:proofErr w:type="spellStart"/>
      <w:r>
        <w:rPr>
          <w:rFonts w:ascii="&amp;quot" w:hAnsi="&amp;quot"/>
          <w:color w:val="000000"/>
          <w:sz w:val="19"/>
          <w:szCs w:val="19"/>
        </w:rPr>
        <w:t>Štátnej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pokladnice.</w:t>
      </w:r>
    </w:p>
    <w:tbl>
      <w:tblPr>
        <w:tblW w:w="0" w:type="auto"/>
        <w:tblBorders>
          <w:top w:val="single" w:sz="2" w:space="0" w:color="D4D4D4"/>
          <w:left w:val="single" w:sz="2" w:space="0" w:color="D4D4D4"/>
          <w:bottom w:val="single" w:sz="2" w:space="0" w:color="D4D4D4"/>
          <w:right w:val="single" w:sz="2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14"/>
        <w:gridCol w:w="4297"/>
        <w:gridCol w:w="203"/>
        <w:gridCol w:w="1892"/>
      </w:tblGrid>
      <w:tr w:rsidR="001075C5" w:rsidTr="00107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8XXXXXXXXX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8180</w:t>
            </w:r>
          </w:p>
        </w:tc>
      </w:tr>
      <w:tr w:rsidR="001075C5" w:rsidTr="001075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predčíslie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označujúce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druh 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základné číslo účtu 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označujúce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daňový subjekt (OÚD)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455DB3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kód 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Štátnej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pokladnice</w:t>
            </w:r>
          </w:p>
        </w:tc>
      </w:tr>
    </w:tbl>
    <w:p w:rsidR="001075C5" w:rsidRPr="001075C5" w:rsidRDefault="001075C5" w:rsidP="001075C5">
      <w:pPr>
        <w:pStyle w:val="Nadpis3"/>
        <w:numPr>
          <w:ilvl w:val="0"/>
          <w:numId w:val="5"/>
        </w:numPr>
        <w:spacing w:before="0" w:beforeAutospacing="0" w:after="0" w:afterAutospacing="0" w:line="453" w:lineRule="atLeast"/>
        <w:jc w:val="both"/>
        <w:textAlignment w:val="baseline"/>
        <w:rPr>
          <w:rFonts w:ascii="&amp;quot" w:hAnsi="&amp;quot"/>
          <w:b w:val="0"/>
          <w:color w:val="000000"/>
          <w:sz w:val="22"/>
          <w:szCs w:val="28"/>
        </w:rPr>
      </w:pP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platenie</w:t>
      </w:r>
      <w:proofErr w:type="spellEnd"/>
      <w:r w:rsidRPr="001075C5">
        <w:rPr>
          <w:rFonts w:ascii="&amp;quot" w:hAnsi="&amp;quot"/>
          <w:b w:val="0"/>
          <w:color w:val="000000"/>
          <w:sz w:val="22"/>
          <w:szCs w:val="28"/>
        </w:rPr>
        <w:t xml:space="preserve"> daní spravovaných daňovými </w:t>
      </w: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úradmi</w:t>
      </w:r>
      <w:proofErr w:type="spellEnd"/>
    </w:p>
    <w:tbl>
      <w:tblPr>
        <w:tblW w:w="8175" w:type="dxa"/>
        <w:tblBorders>
          <w:top w:val="single" w:sz="2" w:space="0" w:color="D4D4D4"/>
          <w:left w:val="single" w:sz="2" w:space="0" w:color="D4D4D4"/>
          <w:bottom w:val="single" w:sz="2" w:space="0" w:color="D4D4D4"/>
          <w:right w:val="single" w:sz="2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937"/>
      </w:tblGrid>
      <w:tr w:rsid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0DAE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Názov</w:t>
            </w:r>
            <w:proofErr w:type="spellEnd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 xml:space="preserve"> účtu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0DAE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Predčíslie</w:t>
            </w:r>
            <w:proofErr w:type="spellEnd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 xml:space="preserve"> účtu</w:t>
            </w:r>
          </w:p>
        </w:tc>
      </w:tr>
      <w:tr w:rsid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Daň z 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pridanej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hodnoty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500240</w:t>
            </w:r>
          </w:p>
        </w:tc>
      </w:tr>
      <w:tr w:rsidR="001075C5" w:rsidRP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Daň z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príjmov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fyzických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osôb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zo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závislej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činnosti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  <w:r w:rsidRPr="001075C5"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500259</w:t>
            </w:r>
          </w:p>
        </w:tc>
      </w:tr>
      <w:tr w:rsidR="001075C5" w:rsidRP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Daň z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príjmov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právnických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osôb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so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sídlom</w:t>
            </w:r>
            <w:proofErr w:type="spellEnd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 v tuzemsku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  <w:r w:rsidRPr="001075C5"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500224</w:t>
            </w:r>
          </w:p>
        </w:tc>
      </w:tr>
      <w:tr w:rsidR="001075C5" w:rsidRP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 xml:space="preserve">Daň z motorových </w:t>
            </w:r>
            <w:proofErr w:type="spellStart"/>
            <w:r w:rsidRPr="001075C5">
              <w:rPr>
                <w:rFonts w:ascii="&amp;quot" w:hAnsi="&amp;quot"/>
                <w:color w:val="000000"/>
                <w:sz w:val="19"/>
                <w:szCs w:val="19"/>
              </w:rPr>
              <w:t>vozidiel</w:t>
            </w:r>
            <w:proofErr w:type="spell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P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</w:pPr>
            <w:r w:rsidRPr="001075C5"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501163</w:t>
            </w:r>
          </w:p>
        </w:tc>
      </w:tr>
    </w:tbl>
    <w:p w:rsidR="001075C5" w:rsidRPr="001075C5" w:rsidRDefault="001075C5" w:rsidP="001075C5">
      <w:pPr>
        <w:pStyle w:val="Nadpis3"/>
        <w:numPr>
          <w:ilvl w:val="0"/>
          <w:numId w:val="5"/>
        </w:numPr>
        <w:spacing w:before="0" w:beforeAutospacing="0" w:after="0" w:afterAutospacing="0" w:line="453" w:lineRule="atLeast"/>
        <w:jc w:val="both"/>
        <w:textAlignment w:val="baseline"/>
        <w:rPr>
          <w:rFonts w:ascii="&amp;quot" w:hAnsi="&amp;quot"/>
          <w:b w:val="0"/>
          <w:color w:val="000000"/>
          <w:sz w:val="22"/>
          <w:szCs w:val="28"/>
        </w:rPr>
      </w:pP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platenie</w:t>
      </w:r>
      <w:proofErr w:type="spellEnd"/>
      <w:r w:rsidRPr="001075C5">
        <w:rPr>
          <w:rFonts w:ascii="&amp;quot" w:hAnsi="&amp;quot"/>
          <w:b w:val="0"/>
          <w:color w:val="000000"/>
          <w:sz w:val="22"/>
          <w:szCs w:val="28"/>
        </w:rPr>
        <w:t xml:space="preserve"> daní a </w:t>
      </w: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zloženia</w:t>
      </w:r>
      <w:proofErr w:type="spellEnd"/>
      <w:r w:rsidRPr="001075C5">
        <w:rPr>
          <w:rFonts w:ascii="&amp;quot" w:hAnsi="&amp;quot"/>
          <w:b w:val="0"/>
          <w:color w:val="000000"/>
          <w:sz w:val="22"/>
          <w:szCs w:val="28"/>
        </w:rPr>
        <w:t xml:space="preserve"> </w:t>
      </w: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zábezpeky</w:t>
      </w:r>
      <w:proofErr w:type="spellEnd"/>
      <w:r w:rsidRPr="001075C5">
        <w:rPr>
          <w:rFonts w:ascii="&amp;quot" w:hAnsi="&amp;quot"/>
          <w:b w:val="0"/>
          <w:color w:val="000000"/>
          <w:sz w:val="22"/>
          <w:szCs w:val="28"/>
        </w:rPr>
        <w:t xml:space="preserve"> na daň spravovaných </w:t>
      </w: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colnými</w:t>
      </w:r>
      <w:proofErr w:type="spellEnd"/>
      <w:r w:rsidRPr="001075C5">
        <w:rPr>
          <w:rFonts w:ascii="&amp;quot" w:hAnsi="&amp;quot"/>
          <w:b w:val="0"/>
          <w:color w:val="000000"/>
          <w:sz w:val="22"/>
          <w:szCs w:val="28"/>
        </w:rPr>
        <w:t xml:space="preserve"> </w:t>
      </w:r>
      <w:proofErr w:type="spellStart"/>
      <w:r w:rsidRPr="001075C5">
        <w:rPr>
          <w:rFonts w:ascii="&amp;quot" w:hAnsi="&amp;quot"/>
          <w:b w:val="0"/>
          <w:color w:val="000000"/>
          <w:sz w:val="22"/>
          <w:szCs w:val="28"/>
        </w:rPr>
        <w:t>úradmi</w:t>
      </w:r>
      <w:proofErr w:type="spellEnd"/>
    </w:p>
    <w:tbl>
      <w:tblPr>
        <w:tblW w:w="8175" w:type="dxa"/>
        <w:tblBorders>
          <w:top w:val="single" w:sz="2" w:space="0" w:color="D4D4D4"/>
          <w:left w:val="single" w:sz="2" w:space="0" w:color="D4D4D4"/>
          <w:bottom w:val="single" w:sz="2" w:space="0" w:color="D4D4D4"/>
          <w:right w:val="single" w:sz="2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2400"/>
      </w:tblGrid>
      <w:tr w:rsid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0DAE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Názov</w:t>
            </w:r>
            <w:proofErr w:type="spellEnd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 xml:space="preserve"> účtu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0DAE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Predčíslie</w:t>
            </w:r>
            <w:proofErr w:type="spellEnd"/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 xml:space="preserve"> účtu</w:t>
            </w:r>
          </w:p>
        </w:tc>
      </w:tr>
      <w:tr w:rsid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color w:val="000000"/>
                <w:sz w:val="19"/>
                <w:szCs w:val="19"/>
              </w:rPr>
              <w:t>SPD z 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elektriny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tuzemsko C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500005</w:t>
            </w:r>
          </w:p>
        </w:tc>
      </w:tr>
      <w:tr w:rsidR="001075C5" w:rsidTr="001075C5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color w:val="000000"/>
                <w:sz w:val="19"/>
                <w:szCs w:val="19"/>
              </w:rPr>
              <w:t>SPD z 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minerálnych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000000"/>
                <w:sz w:val="19"/>
                <w:szCs w:val="19"/>
              </w:rPr>
              <w:t>olejov</w:t>
            </w:r>
            <w:proofErr w:type="spellEnd"/>
            <w:r>
              <w:rPr>
                <w:rFonts w:ascii="&amp;quot" w:hAnsi="&amp;quot"/>
                <w:color w:val="000000"/>
                <w:sz w:val="19"/>
                <w:szCs w:val="19"/>
              </w:rPr>
              <w:t xml:space="preserve"> – tuzemsko C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075C5" w:rsidRDefault="001075C5" w:rsidP="001075C5">
            <w:pPr>
              <w:spacing w:after="0" w:line="240" w:lineRule="auto"/>
              <w:jc w:val="center"/>
              <w:rPr>
                <w:rFonts w:ascii="&amp;quot" w:hAnsi="&amp;quot"/>
                <w:color w:val="000000"/>
                <w:sz w:val="19"/>
                <w:szCs w:val="19"/>
              </w:rPr>
            </w:pPr>
            <w:r>
              <w:rPr>
                <w:rFonts w:ascii="&amp;quot" w:hAnsi="&amp;quot"/>
                <w:b/>
                <w:bCs/>
                <w:color w:val="000000"/>
                <w:sz w:val="19"/>
                <w:szCs w:val="19"/>
                <w:bdr w:val="none" w:sz="0" w:space="0" w:color="auto" w:frame="1"/>
              </w:rPr>
              <w:t>500013</w:t>
            </w:r>
          </w:p>
        </w:tc>
      </w:tr>
    </w:tbl>
    <w:p w:rsidR="00591D2B" w:rsidRPr="0060263C" w:rsidRDefault="00591D2B" w:rsidP="0060263C">
      <w:pPr>
        <w:pStyle w:val="Bezriadkovania"/>
        <w:rPr>
          <w:kern w:val="28"/>
          <w:sz w:val="2"/>
          <w:lang w:val="sk-SK"/>
        </w:rPr>
      </w:pPr>
    </w:p>
    <w:sectPr w:rsidR="00591D2B" w:rsidRPr="0060263C" w:rsidSect="003D1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F3F"/>
    <w:multiLevelType w:val="hybridMultilevel"/>
    <w:tmpl w:val="2E76D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192C"/>
    <w:multiLevelType w:val="hybridMultilevel"/>
    <w:tmpl w:val="B5A4E648"/>
    <w:lvl w:ilvl="0" w:tplc="EC7E4D3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CE2"/>
    <w:multiLevelType w:val="hybridMultilevel"/>
    <w:tmpl w:val="12C2163E"/>
    <w:lvl w:ilvl="0" w:tplc="36B07B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400C0"/>
    <w:multiLevelType w:val="hybridMultilevel"/>
    <w:tmpl w:val="06322AD2"/>
    <w:lvl w:ilvl="0" w:tplc="BD26D9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689"/>
    <w:multiLevelType w:val="hybridMultilevel"/>
    <w:tmpl w:val="54966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FED"/>
    <w:rsid w:val="00052F77"/>
    <w:rsid w:val="000600A9"/>
    <w:rsid w:val="00091E06"/>
    <w:rsid w:val="000A7716"/>
    <w:rsid w:val="000E6C3A"/>
    <w:rsid w:val="000E7CF9"/>
    <w:rsid w:val="001075C5"/>
    <w:rsid w:val="00140C7B"/>
    <w:rsid w:val="00192EFA"/>
    <w:rsid w:val="0019504B"/>
    <w:rsid w:val="001C5BF6"/>
    <w:rsid w:val="001C6185"/>
    <w:rsid w:val="00223433"/>
    <w:rsid w:val="00230274"/>
    <w:rsid w:val="002C485E"/>
    <w:rsid w:val="002D7586"/>
    <w:rsid w:val="002E52CB"/>
    <w:rsid w:val="0032317E"/>
    <w:rsid w:val="003D1006"/>
    <w:rsid w:val="00404703"/>
    <w:rsid w:val="00455DB3"/>
    <w:rsid w:val="004F4E21"/>
    <w:rsid w:val="005855FD"/>
    <w:rsid w:val="00591D2B"/>
    <w:rsid w:val="005A0286"/>
    <w:rsid w:val="0060263C"/>
    <w:rsid w:val="00614975"/>
    <w:rsid w:val="0062723C"/>
    <w:rsid w:val="00665A74"/>
    <w:rsid w:val="006C0244"/>
    <w:rsid w:val="006C116C"/>
    <w:rsid w:val="006E300B"/>
    <w:rsid w:val="00767F70"/>
    <w:rsid w:val="007B72F6"/>
    <w:rsid w:val="00825978"/>
    <w:rsid w:val="00864A2B"/>
    <w:rsid w:val="00892AC0"/>
    <w:rsid w:val="008E5B1C"/>
    <w:rsid w:val="0094248E"/>
    <w:rsid w:val="009647AB"/>
    <w:rsid w:val="009735E0"/>
    <w:rsid w:val="009A423E"/>
    <w:rsid w:val="009A6079"/>
    <w:rsid w:val="00A47A51"/>
    <w:rsid w:val="00A76B31"/>
    <w:rsid w:val="00B23AEA"/>
    <w:rsid w:val="00C002F1"/>
    <w:rsid w:val="00C355E5"/>
    <w:rsid w:val="00C55687"/>
    <w:rsid w:val="00CD124A"/>
    <w:rsid w:val="00CF0E8E"/>
    <w:rsid w:val="00D21192"/>
    <w:rsid w:val="00D30B58"/>
    <w:rsid w:val="00D63FED"/>
    <w:rsid w:val="00DE1826"/>
    <w:rsid w:val="00E01429"/>
    <w:rsid w:val="00E670B7"/>
    <w:rsid w:val="00E76A98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C3A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F0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F0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76A98"/>
    <w:pPr>
      <w:ind w:left="720"/>
      <w:contextualSpacing/>
    </w:pPr>
  </w:style>
  <w:style w:type="paragraph" w:styleId="Bezriadkovania">
    <w:name w:val="No Spacing"/>
    <w:uiPriority w:val="1"/>
    <w:qFormat/>
    <w:rsid w:val="00E76A98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D1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D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1075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0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7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F0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F0E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CF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76A98"/>
    <w:pPr>
      <w:ind w:left="720"/>
      <w:contextualSpacing/>
    </w:pPr>
  </w:style>
  <w:style w:type="paragraph" w:styleId="Bezriadkovania">
    <w:name w:val="No Spacing"/>
    <w:uiPriority w:val="1"/>
    <w:qFormat/>
    <w:rsid w:val="00E76A98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3D10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D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07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1075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0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7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overenie-prideleneho-ou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11/3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elektronicke-sluzby/verejne-sluzby/danovy-kalend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2018-03-11T22:33:00Z</cp:lastPrinted>
  <dcterms:created xsi:type="dcterms:W3CDTF">2018-03-11T21:43:00Z</dcterms:created>
  <dcterms:modified xsi:type="dcterms:W3CDTF">2020-02-18T18:58:00Z</dcterms:modified>
</cp:coreProperties>
</file>